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67182">
        <w:rPr>
          <w:rFonts w:ascii="Arial" w:hAnsi="Arial" w:cs="Arial"/>
          <w:sz w:val="24"/>
          <w:szCs w:val="24"/>
        </w:rPr>
        <w:t>Ilex View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67182">
        <w:rPr>
          <w:rFonts w:ascii="Arial" w:hAnsi="Arial" w:cs="Arial"/>
          <w:sz w:val="24"/>
          <w:szCs w:val="24"/>
        </w:rPr>
        <w:t>P81118</w:t>
      </w:r>
    </w:p>
    <w:p w:rsidR="00A75AE8" w:rsidRPr="002649FE" w:rsidRDefault="00A75AE8" w:rsidP="00A75AE8">
      <w:pPr>
        <w:tabs>
          <w:tab w:val="left" w:pos="142"/>
        </w:tabs>
        <w:rPr>
          <w:rFonts w:ascii="Arial" w:hAnsi="Arial" w:cs="Arial"/>
          <w:sz w:val="24"/>
          <w:szCs w:val="24"/>
        </w:rPr>
      </w:pPr>
    </w:p>
    <w:p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267182">
        <w:rPr>
          <w:rFonts w:ascii="Arial" w:hAnsi="Arial" w:cs="Arial"/>
          <w:sz w:val="24"/>
          <w:szCs w:val="24"/>
        </w:rPr>
        <w:t>Alaina Ibbotson</w:t>
      </w:r>
      <w:r w:rsidR="00A75AE8" w:rsidRPr="002649FE">
        <w:rPr>
          <w:rFonts w:ascii="Arial" w:hAnsi="Arial" w:cs="Arial"/>
          <w:sz w:val="24"/>
          <w:szCs w:val="24"/>
        </w:rPr>
        <w:t xml:space="preserve">         </w:t>
      </w:r>
      <w:r w:rsidR="00A75AE8"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proofErr w:type="gramStart"/>
      <w:r w:rsidR="00A75AE8" w:rsidRPr="002649FE">
        <w:rPr>
          <w:rFonts w:ascii="Arial" w:hAnsi="Arial" w:cs="Arial"/>
          <w:sz w:val="24"/>
          <w:szCs w:val="24"/>
        </w:rPr>
        <w:t>:</w:t>
      </w:r>
      <w:r w:rsidR="00267182">
        <w:rPr>
          <w:rFonts w:ascii="Arial" w:hAnsi="Arial" w:cs="Arial"/>
          <w:sz w:val="24"/>
          <w:szCs w:val="24"/>
        </w:rPr>
        <w:t>28.03.2015</w:t>
      </w:r>
      <w:proofErr w:type="gramEnd"/>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C85EE1">
        <w:rPr>
          <w:rFonts w:ascii="Arial" w:hAnsi="Arial" w:cs="Arial"/>
          <w:sz w:val="24"/>
          <w:szCs w:val="24"/>
        </w:rPr>
        <w:t>Yes see last page</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r w:rsidR="00C85EE1">
        <w:rPr>
          <w:rFonts w:ascii="Arial" w:hAnsi="Arial" w:cs="Arial"/>
          <w:sz w:val="24"/>
          <w:szCs w:val="24"/>
        </w:rPr>
        <w:t xml:space="preserve"> 30.03.2015</w:t>
      </w:r>
    </w:p>
    <w:p w:rsidR="0025512E" w:rsidRDefault="0025512E" w:rsidP="00A75AE8">
      <w:pPr>
        <w:tabs>
          <w:tab w:val="left" w:pos="142"/>
        </w:tabs>
        <w:rPr>
          <w:rFonts w:ascii="Arial" w:hAnsi="Arial" w:cs="Arial"/>
          <w:sz w:val="24"/>
          <w:szCs w:val="24"/>
        </w:rPr>
      </w:pPr>
    </w:p>
    <w:p w:rsidR="0025512E" w:rsidRPr="002649FE"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Pr>
          <w:rFonts w:ascii="Arial" w:hAnsi="Arial" w:cs="Arial"/>
          <w:sz w:val="24"/>
          <w:szCs w:val="24"/>
        </w:rPr>
        <w:t xml:space="preserve"> March 2015</w:t>
      </w:r>
      <w:r>
        <w:rPr>
          <w:rFonts w:ascii="Arial" w:hAnsi="Arial" w:cs="Arial"/>
          <w:sz w:val="24"/>
          <w:szCs w:val="24"/>
        </w:rPr>
        <w:tab/>
      </w:r>
      <w:r>
        <w:rPr>
          <w:rFonts w:ascii="Arial" w:hAnsi="Arial" w:cs="Arial"/>
          <w:sz w:val="24"/>
          <w:szCs w:val="24"/>
        </w:rPr>
        <w:tab/>
      </w:r>
      <w:r>
        <w:rPr>
          <w:rFonts w:ascii="Arial" w:hAnsi="Arial" w:cs="Arial"/>
          <w:sz w:val="24"/>
          <w:szCs w:val="24"/>
        </w:rPr>
        <w:tab/>
        <w:t>YES (If no, please provide further information)</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267182">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67182">
              <w:rPr>
                <w:rFonts w:ascii="Arial" w:hAnsi="Arial" w:cs="Arial"/>
                <w:color w:val="auto"/>
              </w:rPr>
              <w:t xml:space="preserve"> 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67182">
              <w:rPr>
                <w:rFonts w:ascii="Arial" w:hAnsi="Arial" w:cs="Arial"/>
              </w:rPr>
              <w:t>4</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4816C1" w:rsidP="00A243E1">
                  <w:pPr>
                    <w:pStyle w:val="Default"/>
                    <w:tabs>
                      <w:tab w:val="left" w:pos="142"/>
                    </w:tabs>
                    <w:rPr>
                      <w:rFonts w:ascii="Arial" w:hAnsi="Arial" w:cs="Arial"/>
                    </w:rPr>
                  </w:pPr>
                  <w:r>
                    <w:rPr>
                      <w:rFonts w:ascii="Arial" w:hAnsi="Arial" w:cs="Arial"/>
                    </w:rPr>
                    <w:t>51%</w:t>
                  </w:r>
                </w:p>
              </w:tc>
              <w:tc>
                <w:tcPr>
                  <w:tcW w:w="1985" w:type="dxa"/>
                </w:tcPr>
                <w:p w:rsidR="00A75AE8" w:rsidRPr="002649FE" w:rsidRDefault="004816C1" w:rsidP="00A243E1">
                  <w:pPr>
                    <w:pStyle w:val="Default"/>
                    <w:tabs>
                      <w:tab w:val="left" w:pos="142"/>
                    </w:tabs>
                    <w:rPr>
                      <w:rFonts w:ascii="Arial" w:hAnsi="Arial" w:cs="Arial"/>
                    </w:rPr>
                  </w:pPr>
                  <w:r>
                    <w:rPr>
                      <w:rFonts w:ascii="Arial" w:hAnsi="Arial" w:cs="Arial"/>
                    </w:rPr>
                    <w:t>49%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816C1" w:rsidP="00A243E1">
                  <w:pPr>
                    <w:pStyle w:val="Default"/>
                    <w:tabs>
                      <w:tab w:val="left" w:pos="142"/>
                    </w:tabs>
                    <w:rPr>
                      <w:rFonts w:ascii="Arial" w:hAnsi="Arial" w:cs="Arial"/>
                    </w:rPr>
                  </w:pPr>
                  <w:r>
                    <w:rPr>
                      <w:rFonts w:ascii="Arial" w:hAnsi="Arial" w:cs="Arial"/>
                    </w:rPr>
                    <w:t>75%</w:t>
                  </w:r>
                </w:p>
              </w:tc>
              <w:tc>
                <w:tcPr>
                  <w:tcW w:w="1985" w:type="dxa"/>
                </w:tcPr>
                <w:p w:rsidR="00A75AE8" w:rsidRPr="002649FE" w:rsidRDefault="004816C1" w:rsidP="00A243E1">
                  <w:pPr>
                    <w:pStyle w:val="Default"/>
                    <w:tabs>
                      <w:tab w:val="left" w:pos="142"/>
                    </w:tabs>
                    <w:rPr>
                      <w:rFonts w:ascii="Arial" w:hAnsi="Arial" w:cs="Arial"/>
                    </w:rPr>
                  </w:pPr>
                  <w:r>
                    <w:rPr>
                      <w:rFonts w:ascii="Arial" w:hAnsi="Arial" w:cs="Arial"/>
                    </w:rPr>
                    <w:t>25%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5 - 14</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15-44</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45-64</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65-74</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75-84</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85 +</w:t>
                  </w: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902029" w:rsidP="00A243E1">
                  <w:pPr>
                    <w:pStyle w:val="Default"/>
                    <w:tabs>
                      <w:tab w:val="left" w:pos="142"/>
                    </w:tabs>
                    <w:rPr>
                      <w:rFonts w:ascii="Arial" w:hAnsi="Arial" w:cs="Arial"/>
                    </w:rPr>
                  </w:pPr>
                  <w:r>
                    <w:rPr>
                      <w:rFonts w:ascii="Arial" w:hAnsi="Arial" w:cs="Arial"/>
                    </w:rPr>
                    <w:t>523</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870</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2922</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1732</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566</w:t>
                  </w:r>
                </w:p>
              </w:tc>
              <w:tc>
                <w:tcPr>
                  <w:tcW w:w="850" w:type="dxa"/>
                </w:tcPr>
                <w:p w:rsidR="00A75AE8" w:rsidRPr="002649FE" w:rsidRDefault="00902029" w:rsidP="00A243E1">
                  <w:pPr>
                    <w:pStyle w:val="Default"/>
                    <w:tabs>
                      <w:tab w:val="left" w:pos="142"/>
                    </w:tabs>
                    <w:rPr>
                      <w:rFonts w:ascii="Arial" w:hAnsi="Arial" w:cs="Arial"/>
                    </w:rPr>
                  </w:pPr>
                  <w:r>
                    <w:rPr>
                      <w:rFonts w:ascii="Arial" w:hAnsi="Arial" w:cs="Arial"/>
                    </w:rPr>
                    <w:t>294</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114</w:t>
                  </w: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902029" w:rsidP="00902029">
                  <w:pPr>
                    <w:pStyle w:val="Default"/>
                    <w:tabs>
                      <w:tab w:val="left" w:pos="142"/>
                    </w:tabs>
                    <w:rPr>
                      <w:rFonts w:ascii="Arial" w:hAnsi="Arial" w:cs="Arial"/>
                    </w:rPr>
                  </w:pPr>
                  <w:r>
                    <w:rPr>
                      <w:rFonts w:ascii="Arial" w:hAnsi="Arial" w:cs="Arial"/>
                    </w:rPr>
                    <w:t>1</w:t>
                  </w:r>
                </w:p>
              </w:tc>
              <w:tc>
                <w:tcPr>
                  <w:tcW w:w="851" w:type="dxa"/>
                </w:tcPr>
                <w:p w:rsidR="00A75AE8" w:rsidRPr="002649FE" w:rsidRDefault="00902029"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4019</w:t>
                  </w:r>
                </w:p>
              </w:tc>
              <w:tc>
                <w:tcPr>
                  <w:tcW w:w="851"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18</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67</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12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4F0CAD" w:rsidP="00A243E1">
                  <w:pPr>
                    <w:pStyle w:val="Default"/>
                    <w:tabs>
                      <w:tab w:val="left" w:pos="142"/>
                    </w:tabs>
                    <w:rPr>
                      <w:rFonts w:ascii="Arial" w:hAnsi="Arial" w:cs="Arial"/>
                      <w:color w:val="auto"/>
                    </w:rPr>
                  </w:pPr>
                  <w:r>
                    <w:rPr>
                      <w:rFonts w:ascii="Arial" w:hAnsi="Arial" w:cs="Arial"/>
                      <w:color w:val="auto"/>
                    </w:rPr>
                    <w:t>4</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306493" w:rsidP="00A243E1">
                  <w:pPr>
                    <w:pStyle w:val="Default"/>
                    <w:tabs>
                      <w:tab w:val="left" w:pos="142"/>
                    </w:tabs>
                    <w:rPr>
                      <w:rFonts w:ascii="Arial" w:hAnsi="Arial" w:cs="Arial"/>
                    </w:rPr>
                  </w:pPr>
                  <w:r>
                    <w:rPr>
                      <w:rFonts w:ascii="Arial" w:hAnsi="Arial" w:cs="Arial"/>
                    </w:rPr>
                    <w:t>46</w:t>
                  </w:r>
                </w:p>
              </w:tc>
              <w:tc>
                <w:tcPr>
                  <w:tcW w:w="1417" w:type="dxa"/>
                </w:tcPr>
                <w:p w:rsidR="00A75AE8" w:rsidRPr="002649FE" w:rsidRDefault="00306493" w:rsidP="00A243E1">
                  <w:pPr>
                    <w:pStyle w:val="Default"/>
                    <w:tabs>
                      <w:tab w:val="left" w:pos="142"/>
                    </w:tabs>
                    <w:rPr>
                      <w:rFonts w:ascii="Arial" w:hAnsi="Arial" w:cs="Arial"/>
                    </w:rPr>
                  </w:pPr>
                  <w:r>
                    <w:rPr>
                      <w:rFonts w:ascii="Arial" w:hAnsi="Arial" w:cs="Arial"/>
                    </w:rPr>
                    <w:t>266</w:t>
                  </w:r>
                </w:p>
              </w:tc>
              <w:tc>
                <w:tcPr>
                  <w:tcW w:w="1559" w:type="dxa"/>
                </w:tcPr>
                <w:p w:rsidR="00A75AE8" w:rsidRPr="002649FE" w:rsidRDefault="00306493" w:rsidP="00A243E1">
                  <w:pPr>
                    <w:pStyle w:val="Default"/>
                    <w:tabs>
                      <w:tab w:val="left" w:pos="142"/>
                    </w:tabs>
                    <w:rPr>
                      <w:rFonts w:ascii="Arial" w:hAnsi="Arial" w:cs="Arial"/>
                    </w:rPr>
                  </w:pPr>
                  <w:r>
                    <w:rPr>
                      <w:rFonts w:ascii="Arial" w:hAnsi="Arial" w:cs="Arial"/>
                    </w:rPr>
                    <w:t>1286</w:t>
                  </w:r>
                </w:p>
              </w:tc>
              <w:tc>
                <w:tcPr>
                  <w:tcW w:w="1134"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8</w:t>
                  </w:r>
                </w:p>
              </w:tc>
              <w:tc>
                <w:tcPr>
                  <w:tcW w:w="993"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14</w:t>
                  </w:r>
                </w:p>
              </w:tc>
              <w:tc>
                <w:tcPr>
                  <w:tcW w:w="1134"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2</w:t>
                  </w:r>
                </w:p>
              </w:tc>
              <w:tc>
                <w:tcPr>
                  <w:tcW w:w="1417"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2</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306493" w:rsidP="00A243E1">
                  <w:pPr>
                    <w:pStyle w:val="Default"/>
                    <w:tabs>
                      <w:tab w:val="left" w:pos="142"/>
                    </w:tabs>
                    <w:rPr>
                      <w:rFonts w:ascii="Arial" w:hAnsi="Arial" w:cs="Arial"/>
                      <w:color w:val="auto"/>
                    </w:rPr>
                  </w:pPr>
                  <w:r>
                    <w:rPr>
                      <w:rFonts w:ascii="Arial" w:hAnsi="Arial" w:cs="Arial"/>
                      <w:color w:val="auto"/>
                    </w:rPr>
                    <w:t>1420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bookmarkStart w:id="0" w:name="_GoBack"/>
                  <w:bookmarkEnd w:id="0"/>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2649FE" w:rsidRDefault="004816C1" w:rsidP="00A243E1">
            <w:pPr>
              <w:tabs>
                <w:tab w:val="left" w:pos="142"/>
              </w:tabs>
              <w:rPr>
                <w:rFonts w:ascii="Arial" w:hAnsi="Arial" w:cs="Arial"/>
                <w:sz w:val="24"/>
                <w:szCs w:val="24"/>
              </w:rPr>
            </w:pPr>
            <w:r>
              <w:rPr>
                <w:rFonts w:ascii="Arial" w:hAnsi="Arial" w:cs="Arial"/>
                <w:sz w:val="24"/>
                <w:szCs w:val="24"/>
              </w:rPr>
              <w:t xml:space="preserve">We have around a 20% list size BME that we have unsuccessfully managed to get as part of our PPG. We have approached mosques and community groups and individual patients </w:t>
            </w:r>
            <w:r w:rsidR="00032EDD">
              <w:rPr>
                <w:rFonts w:ascii="Arial" w:hAnsi="Arial" w:cs="Arial"/>
                <w:sz w:val="24"/>
                <w:szCs w:val="24"/>
              </w:rPr>
              <w:t>however no one has come forward to be part of the PPG.</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4816C1">
              <w:rPr>
                <w:rFonts w:ascii="Arial" w:hAnsi="Arial" w:cs="Arial"/>
                <w:sz w:val="24"/>
              </w:rPr>
              <w:t xml:space="preserve"> </w:t>
            </w:r>
            <w:r w:rsidR="00032EDD">
              <w:rPr>
                <w:rFonts w:ascii="Arial" w:hAnsi="Arial" w:cs="Arial"/>
                <w:sz w:val="24"/>
              </w:rPr>
              <w:t>We have done MSF for doctors and also a general practice questionnaire as well as Friends and Family tests and feedback through our website.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032EDD">
              <w:rPr>
                <w:rFonts w:ascii="Arial" w:hAnsi="Arial" w:cs="Arial"/>
                <w:sz w:val="24"/>
              </w:rPr>
              <w:t xml:space="preserve"> We have met 6 monthly but email updates if needed.</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032EDD">
              <w:rPr>
                <w:rFonts w:ascii="Arial" w:hAnsi="Arial" w:cs="Arial"/>
                <w:sz w:val="24"/>
              </w:rPr>
              <w:t xml:space="preserve">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C85EE1">
              <w:rPr>
                <w:rFonts w:ascii="Arial" w:hAnsi="Arial" w:cs="Arial"/>
                <w:sz w:val="24"/>
              </w:rPr>
              <w:t xml:space="preserve"> Along with support from the PL</w:t>
            </w:r>
            <w:r w:rsidR="00032EDD">
              <w:rPr>
                <w:rFonts w:ascii="Arial" w:hAnsi="Arial" w:cs="Arial"/>
                <w:sz w:val="24"/>
              </w:rPr>
              <w:t>G we have altered the appointment booking system to allow more pre bookable appointments. We were going to review this in April however due to time constraints and data we are goi</w:t>
            </w:r>
            <w:r w:rsidR="00D835C0">
              <w:rPr>
                <w:rFonts w:ascii="Arial" w:hAnsi="Arial" w:cs="Arial"/>
                <w:sz w:val="24"/>
              </w:rPr>
              <w:t>n</w:t>
            </w:r>
            <w:r w:rsidR="00032EDD">
              <w:rPr>
                <w:rFonts w:ascii="Arial" w:hAnsi="Arial" w:cs="Arial"/>
                <w:sz w:val="24"/>
              </w:rPr>
              <w:t>g to review the impact this has had on access in April.</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032EDD">
              <w:rPr>
                <w:rFonts w:ascii="Arial" w:hAnsi="Arial" w:cs="Arial"/>
                <w:sz w:val="24"/>
              </w:rPr>
              <w:t xml:space="preserve"> We will be putting out another questionnaire to ask patients again regardin</w:t>
            </w:r>
            <w:r w:rsidR="00C85EE1">
              <w:rPr>
                <w:rFonts w:ascii="Arial" w:hAnsi="Arial" w:cs="Arial"/>
                <w:sz w:val="24"/>
              </w:rPr>
              <w:t>g access to see if the new book</w:t>
            </w:r>
            <w:r w:rsidR="00032EDD">
              <w:rPr>
                <w:rFonts w:ascii="Arial" w:hAnsi="Arial" w:cs="Arial"/>
                <w:sz w:val="24"/>
              </w:rPr>
              <w:t>ing system has impacted on the access issues we had from the last questionnaire.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032EDD">
              <w:rPr>
                <w:rFonts w:ascii="Arial" w:hAnsi="Arial" w:cs="Arial"/>
                <w:sz w:val="24"/>
              </w:rPr>
              <w:t xml:space="preserve"> Telephone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032EDD">
              <w:rPr>
                <w:rFonts w:ascii="Arial" w:hAnsi="Arial" w:cs="Arial"/>
                <w:sz w:val="24"/>
              </w:rPr>
              <w:t xml:space="preserve"> The PLG </w:t>
            </w:r>
            <w:r w:rsidR="00C85EE1">
              <w:rPr>
                <w:rFonts w:ascii="Arial" w:hAnsi="Arial" w:cs="Arial"/>
                <w:sz w:val="24"/>
              </w:rPr>
              <w:t>rose</w:t>
            </w:r>
            <w:r w:rsidR="00032EDD">
              <w:rPr>
                <w:rFonts w:ascii="Arial" w:hAnsi="Arial" w:cs="Arial"/>
                <w:sz w:val="24"/>
              </w:rPr>
              <w:t xml:space="preserve"> that often people can be dealt with on the phone if it is to discuss blood results, medication queries and investigation results. This would free up GP appointments and also be more convenient for the patient.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032EDD">
              <w:rPr>
                <w:rFonts w:ascii="Arial" w:hAnsi="Arial" w:cs="Arial"/>
                <w:sz w:val="24"/>
              </w:rPr>
              <w:t xml:space="preserve"> We have added two telephone consultation onto the end of each GP session so patients can pre book these for certain things. This has been very successful and has proved a positive step for patients after the results of a short data collection around satisfaction.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032EDD">
              <w:rPr>
                <w:rFonts w:ascii="Arial" w:hAnsi="Arial" w:cs="Arial"/>
                <w:sz w:val="24"/>
              </w:rPr>
              <w:t xml:space="preserve"> Text message reminders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032EDD">
              <w:rPr>
                <w:rFonts w:ascii="Arial" w:hAnsi="Arial" w:cs="Arial"/>
                <w:sz w:val="24"/>
              </w:rPr>
              <w:t xml:space="preserve"> We discussed the issue of DNAs at meetings and how we could try and reduce these especially as we were going to start pre booking more appointments and we agreed to join MJOG and start to use that service to remind patients by text message of there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A0018D">
              <w:rPr>
                <w:rFonts w:ascii="Arial" w:hAnsi="Arial" w:cs="Arial"/>
                <w:sz w:val="24"/>
              </w:rPr>
              <w:t xml:space="preserve"> After an audit of DNA appointments we have seen a reduction in GP and nurse pre booked appointments not attended however we still have a number of book on the day appointments not attended as we do not send text messages for those.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060FE0">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1796E861" wp14:editId="135D938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032EDD" w:rsidP="00A75AE8">
                            <w:r>
                              <w:t xml:space="preserve">We have worked on a few projects with the PLG including access, telephone consultations with a doctor, emergency nurse appointments and confidentiality in the waiting room. Each project we have worked on has been successful and has resulted in positive outcomes for the patients. We are lucky to have a very good PLG chair </w:t>
                            </w:r>
                            <w:r w:rsidR="00C85EE1">
                              <w:t>that</w:t>
                            </w:r>
                            <w:r>
                              <w:t xml:space="preserve"> is keen to get involved in the practice and provides excellent ideas on how we can improve for the patients.</w:t>
                            </w:r>
                          </w:p>
                          <w:p w:rsidR="00C85EE1" w:rsidRDefault="00C85EE1" w:rsidP="00A75AE8">
                            <w:r>
                              <w:t>All PLG reports are published on our website and information is also in the waiting room. We are always open to new members and people can sign up through the website or by speaking to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032EDD" w:rsidP="00A75AE8">
                      <w:r>
                        <w:t xml:space="preserve">We have worked on a few projects with the PLG including access, telephone consultations with a doctor, emergency nurse appointments and confidentiality in the waiting room. Each project we have worked on has been successful and has resulted in positive outcomes for the patients. We are lucky to have a very good PLG chair </w:t>
                      </w:r>
                      <w:r w:rsidR="00C85EE1">
                        <w:t>that</w:t>
                      </w:r>
                      <w:r>
                        <w:t xml:space="preserve"> is keen to get involved in the practice and provides excellent ideas on how we can improve for the patients.</w:t>
                      </w:r>
                    </w:p>
                    <w:p w:rsidR="00C85EE1" w:rsidRDefault="00C85EE1" w:rsidP="00A75AE8">
                      <w:r>
                        <w:t>All PLG reports are published on our website and information is also in the waiting room. We are always open to new members and people can sign up through the website or by speaking to reception.</w:t>
                      </w:r>
                    </w:p>
                  </w:txbxContent>
                </v:textbox>
              </v:shape>
            </w:pict>
          </mc:Fallback>
        </mc:AlternateContent>
      </w:r>
      <w:r w:rsidRPr="002649FE">
        <w:rPr>
          <w:rFonts w:ascii="Arial" w:hAnsi="Arial" w:cs="Arial"/>
          <w:sz w:val="24"/>
          <w:szCs w:val="24"/>
        </w:rPr>
        <w:br w:type="page"/>
      </w:r>
      <w:r w:rsidR="00060FE0">
        <w:rPr>
          <w:rFonts w:ascii="Arial" w:hAnsi="Arial" w:cs="Arial"/>
          <w:noProof/>
          <w:sz w:val="24"/>
          <w:szCs w:val="24"/>
        </w:rPr>
        <w:lastRenderedPageBreak/>
        <w:drawing>
          <wp:inline distT="0" distB="0" distL="0" distR="0">
            <wp:extent cx="8863330" cy="6448452"/>
            <wp:effectExtent l="0" t="0" r="0" b="9525"/>
            <wp:docPr id="3" name="Picture 3" descr="\\jhprodfas02\UserData-ELCCG$\Personal\alaina.ibbotson\Desktop\2015-03-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prodfas02\UserData-ELCCG$\Personal\alaina.ibbotson\Desktop\2015-03-3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6448452"/>
                    </a:xfrm>
                    <a:prstGeom prst="rect">
                      <a:avLst/>
                    </a:prstGeom>
                    <a:noFill/>
                    <a:ln>
                      <a:noFill/>
                    </a:ln>
                  </pic:spPr>
                </pic:pic>
              </a:graphicData>
            </a:graphic>
          </wp:inline>
        </w:drawing>
      </w:r>
    </w:p>
    <w:sectPr w:rsidR="00A75AE8"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2EDD"/>
    <w:rsid w:val="00060FE0"/>
    <w:rsid w:val="0025512E"/>
    <w:rsid w:val="002649FE"/>
    <w:rsid w:val="00267182"/>
    <w:rsid w:val="00306493"/>
    <w:rsid w:val="003E33D7"/>
    <w:rsid w:val="004816C1"/>
    <w:rsid w:val="004F0CAD"/>
    <w:rsid w:val="00902029"/>
    <w:rsid w:val="00902C10"/>
    <w:rsid w:val="00A0018D"/>
    <w:rsid w:val="00A64080"/>
    <w:rsid w:val="00A75AE8"/>
    <w:rsid w:val="00B86900"/>
    <w:rsid w:val="00C85EE1"/>
    <w:rsid w:val="00D835C0"/>
    <w:rsid w:val="00F3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 w:type="paragraph" w:styleId="BalloonText">
    <w:name w:val="Balloon Text"/>
    <w:basedOn w:val="Normal"/>
    <w:link w:val="BalloonTextChar"/>
    <w:uiPriority w:val="99"/>
    <w:semiHidden/>
    <w:unhideWhenUsed/>
    <w:rsid w:val="00D83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C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 w:type="paragraph" w:styleId="BalloonText">
    <w:name w:val="Balloon Text"/>
    <w:basedOn w:val="Normal"/>
    <w:link w:val="BalloonTextChar"/>
    <w:uiPriority w:val="99"/>
    <w:semiHidden/>
    <w:unhideWhenUsed/>
    <w:rsid w:val="00D83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Ibbotson Alaina (ELCCG)</cp:lastModifiedBy>
  <cp:revision>7</cp:revision>
  <cp:lastPrinted>2015-03-30T10:28:00Z</cp:lastPrinted>
  <dcterms:created xsi:type="dcterms:W3CDTF">2015-01-22T10:32:00Z</dcterms:created>
  <dcterms:modified xsi:type="dcterms:W3CDTF">2015-03-31T15:56:00Z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